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91" w:rsidRPr="00EF3691" w:rsidRDefault="00EF3691" w:rsidP="00EF3691">
      <w:pPr>
        <w:shd w:val="clear" w:color="auto" w:fill="FFFFFF"/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F36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</w:t>
      </w:r>
    </w:p>
    <w:p w:rsidR="00A811A4" w:rsidRDefault="00EF3691" w:rsidP="00EF3691">
      <w:pPr>
        <w:shd w:val="clear" w:color="auto" w:fill="FFFFFF"/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</w:t>
      </w:r>
      <w:r w:rsidRPr="00EF36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сесії </w:t>
      </w:r>
    </w:p>
    <w:p w:rsidR="00A811A4" w:rsidRDefault="00A811A4" w:rsidP="00EF3691">
      <w:pPr>
        <w:shd w:val="clear" w:color="auto" w:fill="FFFFFF"/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Городоцької міської ради</w:t>
      </w:r>
    </w:p>
    <w:p w:rsidR="00EF3691" w:rsidRDefault="00EF3691" w:rsidP="00EF3691">
      <w:pPr>
        <w:shd w:val="clear" w:color="auto" w:fill="FFFFFF"/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№___</w:t>
      </w:r>
      <w:r w:rsidRPr="00EF36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від_______2020</w:t>
      </w:r>
    </w:p>
    <w:p w:rsidR="00A811A4" w:rsidRPr="00EF3691" w:rsidRDefault="00A811A4" w:rsidP="00EF3691">
      <w:pPr>
        <w:shd w:val="clear" w:color="auto" w:fill="FFFFFF"/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Р.Кущак</w:t>
      </w:r>
      <w:proofErr w:type="spellEnd"/>
    </w:p>
    <w:p w:rsidR="00EF3691" w:rsidRDefault="00EF3691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F3691" w:rsidRDefault="00EF3691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F3691" w:rsidRDefault="00EF3691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ПРОГРАМА</w:t>
      </w:r>
    </w:p>
    <w:p w:rsidR="00196972" w:rsidRDefault="00196972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протиепідемічних заходів щодо запобігання поширенню гострої респіраторної хвороби, спричиненої </w:t>
      </w:r>
      <w:proofErr w:type="spellStart"/>
      <w:r w:rsidRP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коронавірусом</w:t>
      </w:r>
      <w:proofErr w:type="spellEnd"/>
      <w:r w:rsidRP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COVID-2019 на території міста Городок Львівської області</w:t>
      </w:r>
    </w:p>
    <w:p w:rsidR="00571FF8" w:rsidRPr="00571FF8" w:rsidRDefault="00233410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>
        <w:rPr>
          <w:noProof/>
          <w:sz w:val="80"/>
          <w:szCs w:val="80"/>
          <w:lang w:eastAsia="uk-UA"/>
        </w:rPr>
        <w:drawing>
          <wp:inline distT="0" distB="0" distL="0" distR="0" wp14:anchorId="574D6FA6" wp14:editId="50C10547">
            <wp:extent cx="2247900" cy="2886075"/>
            <wp:effectExtent l="0" t="0" r="0" b="952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1A4" w:rsidRDefault="00A811A4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233410" w:rsidP="00A811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Городок</w:t>
      </w:r>
      <w:r w:rsidR="00A811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811A4"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2020 </w:t>
      </w: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ЗМІСТ</w:t>
      </w: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Розділ 1. Вступ.</w:t>
      </w: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Паспорт </w:t>
      </w:r>
      <w:r w:rsidR="00026D32" w:rsidRPr="00026D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Програми протиепідемічних заходів щодо запобігання поширенню гострої респіраторної хвороби, спричиненої </w:t>
      </w:r>
      <w:proofErr w:type="spellStart"/>
      <w:r w:rsidR="00026D32" w:rsidRPr="00026D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="00026D32" w:rsidRPr="00026D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COVID-2019 на  території міста Городок Львівської області</w:t>
      </w: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Розділ 2. Проблеми, на розв’язання яких спрямована Програма.</w:t>
      </w: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Розділ 3. Головна мета та основне завдання Програми.</w:t>
      </w: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Розділ 4. Механізм реалізації Програми.</w:t>
      </w:r>
    </w:p>
    <w:p w:rsidR="00571FF8" w:rsidRPr="00571FF8" w:rsidRDefault="003F59C3" w:rsidP="005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Розділ 5. Д</w:t>
      </w:r>
      <w:bookmarkStart w:id="0" w:name="_GoBack"/>
      <w:bookmarkEnd w:id="0"/>
      <w:r w:rsidR="00571FF8"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жерела фінансування.</w:t>
      </w:r>
    </w:p>
    <w:p w:rsidR="00571FF8" w:rsidRDefault="00571FF8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Розділ 6. Очікувані результати.</w:t>
      </w: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33410" w:rsidRPr="00571FF8" w:rsidRDefault="00233410" w:rsidP="005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</w:p>
    <w:p w:rsidR="00571FF8" w:rsidRPr="00571FF8" w:rsidRDefault="00571FF8" w:rsidP="005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1. Вступ</w:t>
      </w:r>
    </w:p>
    <w:p w:rsidR="00571FF8" w:rsidRPr="00571FF8" w:rsidRDefault="00A236B2" w:rsidP="00A236B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Програма </w:t>
      </w:r>
      <w:r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протиепідемічних заходів щодо запобігання поширенню гострої респіраторної хвороби, спричиненої </w:t>
      </w:r>
      <w:proofErr w:type="spellStart"/>
      <w:r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COVID-2019 на  території міста Городок Львівської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71FF8"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(далі – Програма) розроблена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провідним спеціалістом з соціально-економічного, інноваційного розвитку та аналізу,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енергоменеджером</w:t>
      </w:r>
      <w:proofErr w:type="spellEnd"/>
      <w:r w:rsidR="00F204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Городоцької міської ради Львівської області</w:t>
      </w:r>
      <w:r w:rsidR="00571FF8"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основу Програми покладені положення Кодексу цивільного захисту України, Закону України «Про забезпечення санітарного та епідемічного благополуччя населення», Закону України «Про захист населення від інфекційних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», Постанови Кабінету Міністрів України від 11.03.2020 року №211 «Про запобігання поширенню на території України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коронавірусу</w:t>
      </w:r>
      <w:proofErr w:type="spellEnd"/>
      <w:r w:rsidR="0023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COVID-19»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Програма визначає основні цілі і завдання попередження та недопущення поширення на території міста </w:t>
      </w:r>
      <w:proofErr w:type="spellStart"/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міста</w:t>
      </w:r>
      <w:proofErr w:type="spellEnd"/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Городок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Львівс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ької області гострих респіраторних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спричинених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кононавірусом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Програмою передбачені заходи, фінансування яких здійснюватиметься за рахунок</w:t>
      </w:r>
      <w:r w:rsidR="00C37B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коштів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міського бюджету </w:t>
      </w:r>
      <w:proofErr w:type="spellStart"/>
      <w:r w:rsidR="00C37B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м.Городок</w:t>
      </w:r>
      <w:proofErr w:type="spellEnd"/>
      <w:r w:rsidR="00C37BCF" w:rsidRPr="00EF36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Pr="00EF36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інших джерел не заборонених законодавством.</w:t>
      </w:r>
    </w:p>
    <w:p w:rsidR="00CD58E0" w:rsidRDefault="00CD58E0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71FF8" w:rsidRPr="00571FF8" w:rsidRDefault="00571FF8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ПАСПОРТ</w:t>
      </w:r>
    </w:p>
    <w:p w:rsidR="00571FF8" w:rsidRPr="00571FF8" w:rsidRDefault="00196972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Програми </w:t>
      </w:r>
      <w:r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протиепідемічних заходів щодо запобігання поширенню гострої респіраторної хвороби, спричиненої </w:t>
      </w:r>
      <w:proofErr w:type="spellStart"/>
      <w:r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COVID-2019 на  території міста Городок Львівської області</w:t>
      </w:r>
    </w:p>
    <w:tbl>
      <w:tblPr>
        <w:tblpPr w:leftFromText="180" w:rightFromText="180" w:vertAnchor="text" w:horzAnchor="margin" w:tblpXSpec="center" w:tblpY="6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2404"/>
        <w:gridCol w:w="7377"/>
      </w:tblGrid>
      <w:tr w:rsidR="00A811A4" w:rsidRPr="00D94CE3" w:rsidTr="00A811A4">
        <w:tc>
          <w:tcPr>
            <w:tcW w:w="846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04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Ініціатор розроблення Програми</w:t>
            </w:r>
          </w:p>
        </w:tc>
        <w:tc>
          <w:tcPr>
            <w:tcW w:w="7377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Заступник міського голови </w:t>
            </w:r>
            <w:proofErr w:type="spellStart"/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С.Попко</w:t>
            </w:r>
            <w:proofErr w:type="spellEnd"/>
          </w:p>
        </w:tc>
      </w:tr>
      <w:tr w:rsidR="00A811A4" w:rsidRPr="00D94CE3" w:rsidTr="00A811A4">
        <w:tc>
          <w:tcPr>
            <w:tcW w:w="846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04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Розробник програми</w:t>
            </w:r>
          </w:p>
        </w:tc>
        <w:tc>
          <w:tcPr>
            <w:tcW w:w="7377" w:type="dxa"/>
            <w:shd w:val="clear" w:color="auto" w:fill="FFFFFF"/>
            <w:hideMark/>
          </w:tcPr>
          <w:p w:rsidR="00A811A4" w:rsidRPr="00D94CE3" w:rsidRDefault="00196972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Провідний спеціаліст з соціально-економічного, інноваційного розвитку та аналізу,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енергоменеджер</w:t>
            </w:r>
            <w:proofErr w:type="spellEnd"/>
          </w:p>
        </w:tc>
      </w:tr>
      <w:tr w:rsidR="00A811A4" w:rsidRPr="00D94CE3" w:rsidTr="00A811A4">
        <w:tc>
          <w:tcPr>
            <w:tcW w:w="846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404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Відповідальний виконавець Програми</w:t>
            </w:r>
          </w:p>
        </w:tc>
        <w:tc>
          <w:tcPr>
            <w:tcW w:w="7377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Заступник міського голови </w:t>
            </w:r>
            <w:proofErr w:type="spellStart"/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С.Попко</w:t>
            </w:r>
            <w:proofErr w:type="spellEnd"/>
          </w:p>
        </w:tc>
      </w:tr>
      <w:tr w:rsidR="00A811A4" w:rsidRPr="00D94CE3" w:rsidTr="00A811A4">
        <w:tc>
          <w:tcPr>
            <w:tcW w:w="846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04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Учасники Програми</w:t>
            </w:r>
          </w:p>
        </w:tc>
        <w:tc>
          <w:tcPr>
            <w:tcW w:w="7377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КП «Міське комунальне господарство», КП «Городоцьке водопровідно-каналізаційне господарство», </w:t>
            </w:r>
            <w:r w:rsidRPr="00D94CE3">
              <w:rPr>
                <w:sz w:val="24"/>
                <w:szCs w:val="24"/>
              </w:rPr>
              <w:t xml:space="preserve"> </w:t>
            </w: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Городоцьке міжрайонне відділення ЛДУ «Львівський обласний лабораторний центр Міністерства охорони здоров’я України», </w:t>
            </w:r>
            <w:r w:rsidRPr="00D94CE3">
              <w:rPr>
                <w:sz w:val="24"/>
                <w:szCs w:val="24"/>
              </w:rPr>
              <w:t xml:space="preserve"> </w:t>
            </w: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КНП «Городоцький районний центр медико-санітарної допомоги» Городоцької районної ради,</w:t>
            </w:r>
            <w:r w:rsidRPr="00D94CE3">
              <w:rPr>
                <w:sz w:val="24"/>
                <w:szCs w:val="24"/>
              </w:rPr>
              <w:t xml:space="preserve"> </w:t>
            </w: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Городоцьке районне управління Головного управління </w:t>
            </w:r>
            <w:proofErr w:type="spellStart"/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 Львівській області, Городоцький ВП Яворівського ВП ГУ НП у Львівській області</w:t>
            </w:r>
          </w:p>
        </w:tc>
      </w:tr>
      <w:tr w:rsidR="00A811A4" w:rsidRPr="00D94CE3" w:rsidTr="00A811A4">
        <w:tc>
          <w:tcPr>
            <w:tcW w:w="846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404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Термін реалізації Програми</w:t>
            </w:r>
          </w:p>
        </w:tc>
        <w:tc>
          <w:tcPr>
            <w:tcW w:w="7377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2020 р.</w:t>
            </w:r>
          </w:p>
        </w:tc>
      </w:tr>
      <w:tr w:rsidR="00A811A4" w:rsidRPr="00D94CE3" w:rsidTr="00A811A4">
        <w:tc>
          <w:tcPr>
            <w:tcW w:w="846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404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Перелік джерел фінансування</w:t>
            </w:r>
          </w:p>
        </w:tc>
        <w:tc>
          <w:tcPr>
            <w:tcW w:w="7377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Міський бюджет та інші кошти, не заборонені законодавством</w:t>
            </w:r>
          </w:p>
        </w:tc>
      </w:tr>
      <w:tr w:rsidR="00A811A4" w:rsidRPr="00D94CE3" w:rsidTr="00A811A4">
        <w:tc>
          <w:tcPr>
            <w:tcW w:w="846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404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7377" w:type="dxa"/>
            <w:shd w:val="clear" w:color="auto" w:fill="FFFFFF"/>
            <w:hideMark/>
          </w:tcPr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Коштів міського бюджету</w:t>
            </w:r>
          </w:p>
          <w:p w:rsidR="00A811A4" w:rsidRPr="00D94CE3" w:rsidRDefault="00A811A4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Pr="00D9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 тис. грн.</w:t>
            </w:r>
          </w:p>
        </w:tc>
      </w:tr>
    </w:tbl>
    <w:p w:rsidR="00233410" w:rsidRDefault="00233410" w:rsidP="00A811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71FF8" w:rsidRPr="00571FF8" w:rsidRDefault="00571FF8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2. Проблеми, на розв’язання яких спрямована Програма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Метою Програми є забезпечення епідемічного благополуччя населення міста</w:t>
      </w:r>
      <w:r w:rsid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Городок Львівської області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сприяння розвитку імунології та попередження виникнення і розповсюдження гострих респіраторних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спричинених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кононавірусом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також захист від тяжкого клінічного перебігу захворювання.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Населення, об’єкти господарювання та територія міста 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Городок п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родовжують перебувати під значним негативним впливом вражаючих чинників гострих респіраторних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спричинених </w:t>
      </w:r>
      <w:proofErr w:type="spellStart"/>
      <w:r w:rsidR="00233410" w:rsidRP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оронавірусом</w:t>
      </w:r>
      <w:proofErr w:type="spellEnd"/>
      <w:r w:rsidR="00D94CE3" w:rsidRP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94C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</w:t>
      </w:r>
      <w:r w:rsidRP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можуть призвести до виникнення надзвичайних ситуацій і небезпечних подій, загибелі людей на виробництві і в побуті, погіршення умов життєдіяльності населення, значних економічних збитків.</w:t>
      </w:r>
    </w:p>
    <w:p w:rsidR="00571FF8" w:rsidRPr="00571FF8" w:rsidRDefault="00571FF8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3. Головна мета та основне завдання Програми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Головною метою Програми є забезпечення достатнього рівня безпеки населення </w:t>
      </w:r>
      <w:r w:rsidR="009A19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території міста 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Городок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ефективних дій щодо попередження розповсюдження випадків гострих респіраторних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спричинених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COVID-19,</w:t>
      </w:r>
      <w:r w:rsidR="009A19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ефективної боротьби із зафіксованими випадками захворювання,</w:t>
      </w:r>
      <w:r w:rsidR="009A19D6"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зниження рівня захворюваності</w:t>
      </w:r>
      <w:r w:rsidR="00D94C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9A19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уникнення можливого його розповсюдження.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досягнення поставленої мети необхідно виконати основне завдання, а саме підвищити рівень готовності закладів охорони здоров’я на території міста </w:t>
      </w:r>
      <w:r w:rsidR="006177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Городка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71FF8" w:rsidRPr="00571FF8" w:rsidRDefault="00571FF8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4. Механізм реалізації Програми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Реалізація завдань Програми забезпечується шляхом виконання програмних заходів (Додаток 1)</w:t>
      </w:r>
    </w:p>
    <w:p w:rsidR="00571FF8" w:rsidRPr="00571FF8" w:rsidRDefault="00233410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Городоцька міська рада Львівської області</w:t>
      </w:r>
      <w:r w:rsidR="00571FF8"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урахуванням коштів, які виділяються на реалізацію Програми, уточнює заходи, проміжні терміни їх виконання та обсяги фінансування.</w:t>
      </w:r>
    </w:p>
    <w:p w:rsidR="00217F10" w:rsidRPr="00217F10" w:rsidRDefault="00571FF8" w:rsidP="0021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Заклади охорони здоров’я та органи, які з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абезпечують на території міста Городок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охорону правопорядку та цивільного захисту, у разі виникнення </w:t>
      </w:r>
      <w:r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потреби у засобах захисту, дезінфікуючих засобів та інших медичних предметів (далі – засоби захисту)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 також інших засобів, що використовуються з метою реалізації протиепідемічних заходів у місті, </w:t>
      </w:r>
      <w:r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</w:t>
      </w:r>
      <w:r w:rsidR="005B41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таються</w:t>
      </w:r>
      <w:r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r w:rsidR="00921C10"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Городоцької міської ради 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r w:rsidR="00921C10"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ьвівської області.</w:t>
      </w:r>
      <w:r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підставі отриманих з</w:t>
      </w:r>
      <w:r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аяв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ок</w:t>
      </w:r>
      <w:r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щодо 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потреби у засобах</w:t>
      </w:r>
      <w:r w:rsidR="005B41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використовуються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попередження поширення та боротьби із проявами гострої респіраторної вірусної інфекції спричиненої </w:t>
      </w:r>
      <w:proofErr w:type="spellStart"/>
      <w:r w:rsidR="00921C10"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</w:t>
      </w:r>
      <w:r w:rsidR="00921C10" w:rsidRP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нонавірусом</w:t>
      </w:r>
      <w:proofErr w:type="spellEnd"/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21C10" w:rsidRPr="005B41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COVID-19</w:t>
      </w:r>
      <w:r w:rsidR="005B41CB" w:rsidRPr="005B41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217F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Городоцька міська рада Львівської області</w:t>
      </w:r>
      <w:r w:rsidR="00217F10" w:rsidRPr="00217F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разі наявності засобів захисту, які придбані в рамках цієї Програми</w:t>
      </w:r>
      <w:r w:rsidR="00217F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(відповідно до Додатку 1)</w:t>
      </w:r>
      <w:r w:rsidR="00217F10" w:rsidRPr="00217F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здійснює передачу на підставі акту приймання-передачі. Вищевказані органи після використання та утилізації, надають звіт про використання або акти утилізації цих засобів захисту.</w:t>
      </w:r>
    </w:p>
    <w:p w:rsidR="00217F10" w:rsidRDefault="00217F10" w:rsidP="0021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7F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Вказані документи є підставою для списання матеріальних цінностей з балансу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Городоцької міської ради Львівської області</w:t>
      </w:r>
    </w:p>
    <w:p w:rsidR="00571FF8" w:rsidRPr="00571FF8" w:rsidRDefault="00571FF8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5. Джерела фінансування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Фінансування Програми за рахунок коштів місцевого бюджету здійснюється в межах бюджетних призначень, передбачених на відповідний рік, які встановлюються з урахуванням наявних фінансових ресурсів, що 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спрямовуються на виконання завдань із забезпечення мінімально достатнього рівня безпеки населення і території міста 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Городк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 від попередження та нерозповсюдження гострих респіраторних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спричинених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також інших джерел не заборонених законодавством.</w:t>
      </w:r>
    </w:p>
    <w:p w:rsidR="00571FF8" w:rsidRPr="00571FF8" w:rsidRDefault="00571FF8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6. Очікувані результати</w:t>
      </w:r>
    </w:p>
    <w:p w:rsidR="00571FF8" w:rsidRP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результаті виконання Програми буде забезпечено мінімальний рівень безпеки населення і території міста 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Городок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21C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Львівської області 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гострих респіраторних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спричинених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COVID-19.</w:t>
      </w:r>
    </w:p>
    <w:p w:rsidR="00571FF8" w:rsidRDefault="00571FF8" w:rsidP="00A81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Виконання заходів програми дозволить забезпечити підвищення готовності протидії поширенню гострих респіраторних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хвороб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спричинених </w:t>
      </w:r>
      <w:proofErr w:type="spellStart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COVID-19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підготовку до дій при їх виникненні, створення матеріального резерву та створення додаткових умов для подальшого економічного і соціального розвитку міста </w:t>
      </w:r>
      <w:r w:rsidR="002334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Городка</w:t>
      </w: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D58E0" w:rsidRDefault="00CD58E0" w:rsidP="00A81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8E0" w:rsidRPr="00571FF8" w:rsidRDefault="00CD58E0" w:rsidP="00A811A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</w:p>
    <w:p w:rsidR="00571FF8" w:rsidRDefault="00CD58E0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Ю.Віткова</w:t>
      </w:r>
      <w:proofErr w:type="spellEnd"/>
    </w:p>
    <w:p w:rsidR="00CD58E0" w:rsidRDefault="00CD58E0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B41CB" w:rsidRDefault="005B41CB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B41CB" w:rsidRDefault="005B41CB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71FF8" w:rsidRPr="00571FF8" w:rsidRDefault="00571FF8" w:rsidP="00A811A4">
      <w:pPr>
        <w:shd w:val="clear" w:color="auto" w:fill="FFFFFF"/>
        <w:spacing w:after="0" w:line="240" w:lineRule="auto"/>
        <w:ind w:left="5812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 1</w:t>
      </w:r>
    </w:p>
    <w:p w:rsidR="00571FF8" w:rsidRPr="005B41CB" w:rsidRDefault="00571FF8" w:rsidP="00A811A4">
      <w:pPr>
        <w:shd w:val="clear" w:color="auto" w:fill="FFFFFF"/>
        <w:spacing w:after="0" w:line="240" w:lineRule="auto"/>
        <w:ind w:left="5812"/>
        <w:jc w:val="both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протиепідемічних заходів щодо запобігання поширенню гострої респіраторної хвороби, спричиненої </w:t>
      </w:r>
      <w:proofErr w:type="spellStart"/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коронавірусом</w:t>
      </w:r>
      <w:proofErr w:type="spellEnd"/>
      <w:r w:rsidR="00196972" w:rsidRPr="00196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COVID-2019 на  території міста Городок Львівської області</w:t>
      </w:r>
    </w:p>
    <w:p w:rsidR="00A811A4" w:rsidRDefault="00A811A4" w:rsidP="00A811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71FF8" w:rsidRDefault="00571FF8" w:rsidP="00A811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Заходи щодо забезпеч</w:t>
      </w:r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ення виконання завдань Програми</w:t>
      </w:r>
      <w:r w:rsidR="00196972" w:rsidRP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протиепідемічних заходів щодо запобігання поширенню гострої респіраторної хвороби, спричине</w:t>
      </w:r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ної </w:t>
      </w:r>
      <w:proofErr w:type="spellStart"/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коронавірусом</w:t>
      </w:r>
      <w:proofErr w:type="spellEnd"/>
      <w:r w:rsid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COVID-2019 на</w:t>
      </w:r>
      <w:r w:rsidR="00196972" w:rsidRPr="00196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території міста Городок Львівської області </w:t>
      </w:r>
      <w:r w:rsidRPr="0057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19</w:t>
      </w:r>
    </w:p>
    <w:p w:rsidR="00A811A4" w:rsidRPr="00571FF8" w:rsidRDefault="00A811A4" w:rsidP="00A81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2379"/>
        <w:gridCol w:w="19"/>
        <w:gridCol w:w="2444"/>
        <w:gridCol w:w="801"/>
        <w:gridCol w:w="1417"/>
        <w:gridCol w:w="2410"/>
      </w:tblGrid>
      <w:tr w:rsidR="00F10A19" w:rsidRPr="00F10A19" w:rsidTr="00F2047F">
        <w:trPr>
          <w:trHeight w:val="162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Зміст заходів</w:t>
            </w: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2047F" w:rsidRDefault="00F2047F" w:rsidP="00F2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Виконавець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Pr="00F2047F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F2047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Термін виконання</w:t>
            </w: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Витрати на реалізацію тис. грн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Очікуваний результат</w:t>
            </w:r>
          </w:p>
          <w:p w:rsidR="00F10A19" w:rsidRPr="00F10A19" w:rsidRDefault="00F10A19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</w:tr>
      <w:tr w:rsidR="009D1640" w:rsidRPr="00F10A19" w:rsidTr="00F2047F">
        <w:trPr>
          <w:tblHeader/>
        </w:trPr>
        <w:tc>
          <w:tcPr>
            <w:tcW w:w="448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379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463" w:type="dxa"/>
            <w:gridSpan w:val="2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801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417" w:type="dxa"/>
            <w:shd w:val="clear" w:color="auto" w:fill="FFFFFF"/>
            <w:hideMark/>
          </w:tcPr>
          <w:p w:rsidR="009D1640" w:rsidRPr="00F10A19" w:rsidRDefault="005B41CB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2410" w:type="dxa"/>
            <w:shd w:val="clear" w:color="auto" w:fill="FFFFFF"/>
            <w:hideMark/>
          </w:tcPr>
          <w:p w:rsidR="009D1640" w:rsidRPr="00F10A19" w:rsidRDefault="005B41CB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6</w:t>
            </w:r>
          </w:p>
        </w:tc>
      </w:tr>
      <w:tr w:rsidR="00571FF8" w:rsidRPr="00F10A19" w:rsidTr="00F10A19">
        <w:tc>
          <w:tcPr>
            <w:tcW w:w="9918" w:type="dxa"/>
            <w:gridSpan w:val="7"/>
            <w:shd w:val="clear" w:color="auto" w:fill="FFFFFF"/>
            <w:hideMark/>
          </w:tcPr>
          <w:p w:rsidR="00571FF8" w:rsidRPr="00F10A19" w:rsidRDefault="00571FF8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Розділ 1. Удосконалення профілактичних та протиепідемічних заходів</w:t>
            </w:r>
          </w:p>
        </w:tc>
      </w:tr>
      <w:tr w:rsidR="009D1640" w:rsidRPr="00F10A19" w:rsidTr="00F2047F">
        <w:tc>
          <w:tcPr>
            <w:tcW w:w="448" w:type="dxa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1.1.</w:t>
            </w:r>
          </w:p>
        </w:tc>
        <w:tc>
          <w:tcPr>
            <w:tcW w:w="2379" w:type="dxa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костюмів біологічного захисту Л 1</w:t>
            </w:r>
          </w:p>
        </w:tc>
        <w:tc>
          <w:tcPr>
            <w:tcW w:w="2463" w:type="dxa"/>
            <w:gridSpan w:val="2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Городоцьке міжрайонне відділення ЛДУ «Львівський обласний лабораторний центр Міністерства охорони здоров’я України»</w:t>
            </w:r>
          </w:p>
        </w:tc>
        <w:tc>
          <w:tcPr>
            <w:tcW w:w="801" w:type="dxa"/>
            <w:shd w:val="clear" w:color="auto" w:fill="FFFFFF"/>
            <w:hideMark/>
          </w:tcPr>
          <w:p w:rsidR="009D1640" w:rsidRPr="00C36C40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  <w:hideMark/>
          </w:tcPr>
          <w:p w:rsidR="009D1640" w:rsidRPr="00C36C40" w:rsidRDefault="00A1537D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5</w:t>
            </w:r>
            <w:r w:rsidR="009D1640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,0</w:t>
            </w:r>
            <w:r w:rsidR="00C36C40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0</w:t>
            </w:r>
          </w:p>
        </w:tc>
        <w:tc>
          <w:tcPr>
            <w:tcW w:w="2410" w:type="dxa"/>
            <w:shd w:val="clear" w:color="auto" w:fill="FFFFFF"/>
            <w:hideMark/>
          </w:tcPr>
          <w:p w:rsidR="009D1640" w:rsidRPr="00C36C40" w:rsidRDefault="00F46892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Забезпечення безпечної, ефективної роботи у вогнищах  корона вірусної  інфекції  COVID -19 на підконтрольній території міста</w:t>
            </w:r>
          </w:p>
        </w:tc>
      </w:tr>
      <w:tr w:rsidR="00EE1D16" w:rsidRPr="00F10A19" w:rsidTr="00F2047F">
        <w:tc>
          <w:tcPr>
            <w:tcW w:w="448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1.2.</w:t>
            </w:r>
          </w:p>
        </w:tc>
        <w:tc>
          <w:tcPr>
            <w:tcW w:w="2379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костюмів біологічного захисту Л 1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господарство», КП «Городоцьке водопровідно-каналізаційне господарство»</w:t>
            </w:r>
          </w:p>
        </w:tc>
        <w:tc>
          <w:tcPr>
            <w:tcW w:w="801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EE1D16" w:rsidRPr="00C36C40" w:rsidRDefault="00C36C40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Забезпечення безпечної, ефективної роботи у вогнищах  корона вірусної  інфекції  COVID -19 на підконтрольній території міста</w:t>
            </w:r>
          </w:p>
        </w:tc>
      </w:tr>
      <w:tr w:rsidR="009D1640" w:rsidRPr="00F10A19" w:rsidTr="00F2047F">
        <w:tc>
          <w:tcPr>
            <w:tcW w:w="448" w:type="dxa"/>
            <w:shd w:val="clear" w:color="auto" w:fill="FFFFFF"/>
          </w:tcPr>
          <w:p w:rsidR="009D1640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</w:t>
            </w:r>
            <w:r w:rsidR="005F062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3</w:t>
            </w: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.</w:t>
            </w:r>
          </w:p>
        </w:tc>
        <w:tc>
          <w:tcPr>
            <w:tcW w:w="2379" w:type="dxa"/>
            <w:shd w:val="clear" w:color="auto" w:fill="FFFFFF"/>
          </w:tcPr>
          <w:p w:rsidR="009D1640" w:rsidRPr="00C36C40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пального</w:t>
            </w:r>
          </w:p>
          <w:p w:rsidR="00A1537D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(</w:t>
            </w:r>
            <w:r w:rsidR="00A1537D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Бензин А-95</w:t>
            </w: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)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9D1640" w:rsidRPr="00C36C40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Городоцький ВП Яворівського ВП ГУ НП у Львівській області</w:t>
            </w:r>
          </w:p>
          <w:p w:rsidR="009D1640" w:rsidRPr="00C36C40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01" w:type="dxa"/>
            <w:shd w:val="clear" w:color="auto" w:fill="FFFFFF"/>
          </w:tcPr>
          <w:p w:rsidR="009D1640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9D1640" w:rsidRPr="00C36C40" w:rsidRDefault="00A1537D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C37BCF" w:rsidRPr="00C36C40" w:rsidRDefault="00C37BCF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Забезпечення в виконання заходів щодо запобігання поширенню гострої респіраторної хвороби, </w:t>
            </w:r>
          </w:p>
          <w:p w:rsidR="009D1640" w:rsidRPr="00C36C40" w:rsidRDefault="00C37BCF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спричиненої </w:t>
            </w:r>
            <w:proofErr w:type="spellStart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коронавірусом</w:t>
            </w:r>
            <w:proofErr w:type="spellEnd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COVID-2019 на території міста, Городок Львівської області, виконання повноважень поліції</w:t>
            </w:r>
          </w:p>
        </w:tc>
      </w:tr>
      <w:tr w:rsidR="00337401" w:rsidRPr="00F10A19" w:rsidTr="00F2047F">
        <w:tc>
          <w:tcPr>
            <w:tcW w:w="448" w:type="dxa"/>
            <w:shd w:val="clear" w:color="auto" w:fill="FFFFFF"/>
          </w:tcPr>
          <w:p w:rsidR="00337401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lastRenderedPageBreak/>
              <w:t>1.4.</w:t>
            </w:r>
          </w:p>
        </w:tc>
        <w:tc>
          <w:tcPr>
            <w:tcW w:w="2379" w:type="dxa"/>
            <w:shd w:val="clear" w:color="auto" w:fill="FFFFFF"/>
          </w:tcPr>
          <w:p w:rsidR="00337401" w:rsidRPr="00C36C40" w:rsidRDefault="00F10A19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пального</w:t>
            </w:r>
            <w:r w:rsidR="00337401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(бензин А-95)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337401" w:rsidRPr="00C36C40" w:rsidRDefault="00E03DFF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Городоцьке районне управління Головного управління </w:t>
            </w:r>
            <w:proofErr w:type="spellStart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Держпродспоживслу</w:t>
            </w:r>
            <w:r w:rsidR="00EE1D16"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</w:t>
            </w: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би</w:t>
            </w:r>
            <w:proofErr w:type="spellEnd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у Львівській області</w:t>
            </w:r>
          </w:p>
        </w:tc>
        <w:tc>
          <w:tcPr>
            <w:tcW w:w="801" w:type="dxa"/>
            <w:shd w:val="clear" w:color="auto" w:fill="FFFFFF"/>
          </w:tcPr>
          <w:p w:rsidR="00337401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337401" w:rsidRPr="00C36C40" w:rsidRDefault="00337401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EE1D16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Забезпечення реалізації заходів щодо запобігання поширенню гострої респіраторної хвороби, </w:t>
            </w:r>
          </w:p>
          <w:p w:rsidR="00337401" w:rsidRPr="00C36C40" w:rsidRDefault="00EE1D16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спричиненої </w:t>
            </w:r>
            <w:proofErr w:type="spellStart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коронавірусом</w:t>
            </w:r>
            <w:proofErr w:type="spellEnd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COVID-2019 на території міста, Городок Львівської області, в частині проведення дезінфекційних заходів на території міста Городок.</w:t>
            </w:r>
          </w:p>
        </w:tc>
      </w:tr>
      <w:tr w:rsidR="00C36C40" w:rsidRPr="00F10A19" w:rsidTr="00F2047F">
        <w:tc>
          <w:tcPr>
            <w:tcW w:w="448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1.5.</w:t>
            </w:r>
          </w:p>
        </w:tc>
        <w:tc>
          <w:tcPr>
            <w:tcW w:w="2379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Придбання хлорного вапна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</w:t>
            </w:r>
          </w:p>
        </w:tc>
        <w:tc>
          <w:tcPr>
            <w:tcW w:w="801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15,00</w:t>
            </w:r>
          </w:p>
        </w:tc>
        <w:tc>
          <w:tcPr>
            <w:tcW w:w="2410" w:type="dxa"/>
            <w:shd w:val="clear" w:color="auto" w:fill="FFFFFF"/>
          </w:tcPr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Забезпечення реалізації заходів щодо запобігання поширенню гострої респіраторної хвороби, </w:t>
            </w:r>
          </w:p>
          <w:p w:rsidR="00C36C40" w:rsidRPr="00C36C40" w:rsidRDefault="00C36C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спричиненої </w:t>
            </w:r>
            <w:proofErr w:type="spellStart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>коронавірусом</w:t>
            </w:r>
            <w:proofErr w:type="spellEnd"/>
            <w:r w:rsidRPr="00C36C4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uk-UA"/>
              </w:rPr>
              <w:t xml:space="preserve"> COVID-2019 на території міста, Городок Львівської області, в частині проведення дезінфекційних заходів на території міста Городок</w:t>
            </w:r>
          </w:p>
        </w:tc>
      </w:tr>
      <w:tr w:rsidR="009D1640" w:rsidRPr="00F10A19" w:rsidTr="00F2047F">
        <w:tc>
          <w:tcPr>
            <w:tcW w:w="448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379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Разом за розділом:</w:t>
            </w:r>
          </w:p>
        </w:tc>
        <w:tc>
          <w:tcPr>
            <w:tcW w:w="2463" w:type="dxa"/>
            <w:gridSpan w:val="2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801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417" w:type="dxa"/>
            <w:shd w:val="clear" w:color="auto" w:fill="FFFFFF"/>
            <w:hideMark/>
          </w:tcPr>
          <w:p w:rsidR="009D1640" w:rsidRPr="00F10A19" w:rsidRDefault="005F062E" w:rsidP="00A811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5</w:t>
            </w:r>
            <w:r w:rsidR="009D1640" w:rsidRPr="00F1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0,0</w:t>
            </w:r>
            <w:r w:rsidR="00C36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2410" w:type="dxa"/>
            <w:shd w:val="clear" w:color="auto" w:fill="FFFFFF"/>
            <w:hideMark/>
          </w:tcPr>
          <w:p w:rsidR="009D1640" w:rsidRPr="00F10A19" w:rsidRDefault="009D1640" w:rsidP="00A811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5B41CB" w:rsidRDefault="005B41CB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D58E0" w:rsidRDefault="00CD58E0" w:rsidP="00A8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Ю.Віткова</w:t>
      </w:r>
      <w:proofErr w:type="spellEnd"/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60E2" w:rsidRDefault="009560E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1A4" w:rsidRDefault="00A811A4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A81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28"/>
    <w:rsid w:val="00026D32"/>
    <w:rsid w:val="000936FF"/>
    <w:rsid w:val="00196972"/>
    <w:rsid w:val="00217F10"/>
    <w:rsid w:val="00217F13"/>
    <w:rsid w:val="00233410"/>
    <w:rsid w:val="002A3B74"/>
    <w:rsid w:val="003033A3"/>
    <w:rsid w:val="00337401"/>
    <w:rsid w:val="003F59C3"/>
    <w:rsid w:val="00420EEC"/>
    <w:rsid w:val="0046748C"/>
    <w:rsid w:val="00506604"/>
    <w:rsid w:val="005544AF"/>
    <w:rsid w:val="00571FF8"/>
    <w:rsid w:val="00591469"/>
    <w:rsid w:val="005A6728"/>
    <w:rsid w:val="005B41CB"/>
    <w:rsid w:val="005F062E"/>
    <w:rsid w:val="0061776A"/>
    <w:rsid w:val="006A4792"/>
    <w:rsid w:val="00734D6D"/>
    <w:rsid w:val="008C7D9B"/>
    <w:rsid w:val="00921C10"/>
    <w:rsid w:val="009560E2"/>
    <w:rsid w:val="009A19D6"/>
    <w:rsid w:val="009D1640"/>
    <w:rsid w:val="00A1537D"/>
    <w:rsid w:val="00A236B2"/>
    <w:rsid w:val="00A811A4"/>
    <w:rsid w:val="00B9178F"/>
    <w:rsid w:val="00C36C40"/>
    <w:rsid w:val="00C37BCF"/>
    <w:rsid w:val="00CD58E0"/>
    <w:rsid w:val="00CD70E0"/>
    <w:rsid w:val="00D5424D"/>
    <w:rsid w:val="00D94CE3"/>
    <w:rsid w:val="00E03DFF"/>
    <w:rsid w:val="00EE1D16"/>
    <w:rsid w:val="00EF3691"/>
    <w:rsid w:val="00F10A19"/>
    <w:rsid w:val="00F2047F"/>
    <w:rsid w:val="00F4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80C35-332A-469C-B07B-ACE502CC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71FF8"/>
    <w:rPr>
      <w:b/>
      <w:bCs/>
    </w:rPr>
  </w:style>
  <w:style w:type="character" w:styleId="a5">
    <w:name w:val="Emphasis"/>
    <w:basedOn w:val="a0"/>
    <w:uiPriority w:val="20"/>
    <w:qFormat/>
    <w:rsid w:val="00571FF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7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7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5745</Words>
  <Characters>3275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admin</dc:creator>
  <cp:keywords/>
  <dc:description/>
  <cp:lastModifiedBy>Tanya admin</cp:lastModifiedBy>
  <cp:revision>5</cp:revision>
  <cp:lastPrinted>2020-04-08T13:15:00Z</cp:lastPrinted>
  <dcterms:created xsi:type="dcterms:W3CDTF">2020-04-07T09:08:00Z</dcterms:created>
  <dcterms:modified xsi:type="dcterms:W3CDTF">2020-04-08T13:17:00Z</dcterms:modified>
</cp:coreProperties>
</file>